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4E8B" w14:textId="67D984B0" w:rsidR="006376D7" w:rsidRPr="006376D7" w:rsidRDefault="006039F5" w:rsidP="00584284">
      <w:pPr>
        <w:spacing w:before="120" w:after="120" w:line="276" w:lineRule="auto"/>
        <w:jc w:val="center"/>
        <w:rPr>
          <w:b/>
          <w:bCs/>
          <w:sz w:val="28"/>
          <w:szCs w:val="28"/>
        </w:rPr>
      </w:pPr>
      <w:r w:rsidRPr="241DE949">
        <w:rPr>
          <w:b/>
          <w:bCs/>
          <w:sz w:val="28"/>
          <w:szCs w:val="28"/>
        </w:rPr>
        <w:t xml:space="preserve">El sector </w:t>
      </w:r>
      <w:r w:rsidRPr="241DE949">
        <w:rPr>
          <w:b/>
          <w:bCs/>
          <w:i/>
          <w:iCs/>
          <w:sz w:val="28"/>
          <w:szCs w:val="28"/>
        </w:rPr>
        <w:t xml:space="preserve">insurtech </w:t>
      </w:r>
      <w:r w:rsidRPr="241DE949">
        <w:rPr>
          <w:b/>
          <w:bCs/>
          <w:sz w:val="28"/>
          <w:szCs w:val="28"/>
        </w:rPr>
        <w:t xml:space="preserve">latinoamericano cierra 2024 </w:t>
      </w:r>
      <w:r w:rsidR="000F1BCD">
        <w:rPr>
          <w:b/>
          <w:bCs/>
          <w:sz w:val="28"/>
          <w:szCs w:val="28"/>
        </w:rPr>
        <w:t>con m</w:t>
      </w:r>
      <w:r w:rsidR="00BD07CB">
        <w:rPr>
          <w:b/>
          <w:bCs/>
          <w:sz w:val="28"/>
          <w:szCs w:val="28"/>
        </w:rPr>
        <w:t>á</w:t>
      </w:r>
      <w:r w:rsidR="000F1BCD">
        <w:rPr>
          <w:b/>
          <w:bCs/>
          <w:sz w:val="28"/>
          <w:szCs w:val="28"/>
        </w:rPr>
        <w:t xml:space="preserve">s de 500 </w:t>
      </w:r>
      <w:proofErr w:type="spellStart"/>
      <w:r w:rsidR="000F1BCD" w:rsidRPr="00BD07CB">
        <w:rPr>
          <w:b/>
          <w:bCs/>
          <w:i/>
          <w:iCs/>
          <w:sz w:val="28"/>
          <w:szCs w:val="28"/>
        </w:rPr>
        <w:t>insurtech</w:t>
      </w:r>
      <w:proofErr w:type="spellEnd"/>
      <w:r w:rsidR="000F1BCD">
        <w:rPr>
          <w:b/>
          <w:bCs/>
          <w:sz w:val="28"/>
          <w:szCs w:val="28"/>
        </w:rPr>
        <w:t xml:space="preserve"> en un contexto adverso</w:t>
      </w:r>
    </w:p>
    <w:p w14:paraId="182FA076" w14:textId="2A5F53CB" w:rsidR="0D4BACFD" w:rsidRDefault="0D4BACFD" w:rsidP="241DE949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eastAsiaTheme="minorEastAsia"/>
        </w:rPr>
      </w:pPr>
      <w:r w:rsidRPr="241DE949">
        <w:rPr>
          <w:rFonts w:eastAsiaTheme="minorEastAsia"/>
        </w:rPr>
        <w:t>La inversión anual en el ecosistema se redujo en un 38% respecto a 2023</w:t>
      </w:r>
      <w:r w:rsidR="00BD07CB">
        <w:rPr>
          <w:rFonts w:eastAsiaTheme="minorEastAsia"/>
        </w:rPr>
        <w:t xml:space="preserve"> y alcanzó los </w:t>
      </w:r>
      <w:r w:rsidR="000F1BCD">
        <w:rPr>
          <w:rFonts w:eastAsiaTheme="minorEastAsia"/>
        </w:rPr>
        <w:t>92 millones de d</w:t>
      </w:r>
      <w:r w:rsidR="00BD07CB">
        <w:rPr>
          <w:rFonts w:eastAsiaTheme="minorEastAsia"/>
        </w:rPr>
        <w:t>ó</w:t>
      </w:r>
      <w:r w:rsidR="000F1BCD">
        <w:rPr>
          <w:rFonts w:eastAsiaTheme="minorEastAsia"/>
        </w:rPr>
        <w:t>lares</w:t>
      </w:r>
      <w:r w:rsidRPr="241DE949">
        <w:rPr>
          <w:rFonts w:eastAsiaTheme="minorEastAsia"/>
        </w:rPr>
        <w:t xml:space="preserve">. </w:t>
      </w:r>
      <w:r w:rsidR="006CA22D" w:rsidRPr="241DE949">
        <w:rPr>
          <w:rFonts w:eastAsiaTheme="minorEastAsia"/>
        </w:rPr>
        <w:t>Sin embargo, durante el segundo semestre de 2024 se produjo un repunte del 156% respecto al primer semestre de 2024, lo que augura un contexto positivo para 2025</w:t>
      </w:r>
      <w:r w:rsidR="6BE81EF0" w:rsidRPr="241DE949">
        <w:rPr>
          <w:rFonts w:eastAsiaTheme="minorEastAsia"/>
        </w:rPr>
        <w:t>.</w:t>
      </w:r>
    </w:p>
    <w:p w14:paraId="20AC6320" w14:textId="69A83D4E" w:rsidR="51402DD0" w:rsidRDefault="51402DD0" w:rsidP="241DE949">
      <w:pPr>
        <w:pStyle w:val="Prrafodelista"/>
        <w:numPr>
          <w:ilvl w:val="0"/>
          <w:numId w:val="1"/>
        </w:numPr>
        <w:spacing w:before="120" w:after="120" w:line="276" w:lineRule="auto"/>
        <w:jc w:val="both"/>
      </w:pPr>
      <w:r>
        <w:t xml:space="preserve">El número de </w:t>
      </w:r>
      <w:r w:rsidRPr="241DE949">
        <w:rPr>
          <w:i/>
          <w:iCs/>
        </w:rPr>
        <w:t xml:space="preserve">startups </w:t>
      </w:r>
      <w:r>
        <w:t xml:space="preserve">en la región asciende a 502, lo que se traduce en un crecimiento anual del 5%, logrando un promedio del 12% desde 2021. La tasa de mortalidad fue del </w:t>
      </w:r>
      <w:r w:rsidR="25D6C1A0">
        <w:t>9,4%</w:t>
      </w:r>
      <w:r>
        <w:t>, y el crecimiento orgánico es de</w:t>
      </w:r>
      <w:r w:rsidR="331ED172">
        <w:t>l</w:t>
      </w:r>
      <w:r>
        <w:t xml:space="preserve"> 1</w:t>
      </w:r>
      <w:r w:rsidR="1B483C92">
        <w:t>5</w:t>
      </w:r>
      <w:r>
        <w:t xml:space="preserve">%, es decir, que </w:t>
      </w:r>
      <w:r w:rsidR="52DF5A16">
        <w:t>nacieron</w:t>
      </w:r>
      <w:r>
        <w:t xml:space="preserve"> 7</w:t>
      </w:r>
      <w:r w:rsidR="46BDA0D2">
        <w:t>0</w:t>
      </w:r>
      <w:r>
        <w:t xml:space="preserve"> </w:t>
      </w:r>
      <w:r w:rsidRPr="241DE949">
        <w:rPr>
          <w:i/>
          <w:iCs/>
        </w:rPr>
        <w:t xml:space="preserve">startups insurtech </w:t>
      </w:r>
      <w:r w:rsidR="761B9B79">
        <w:t>durante el año</w:t>
      </w:r>
      <w:r>
        <w:t>.</w:t>
      </w:r>
    </w:p>
    <w:p w14:paraId="6D3EB886" w14:textId="1AC73C5D" w:rsidR="4E0ADAEE" w:rsidRDefault="4E0ADAEE" w:rsidP="241DE949">
      <w:pPr>
        <w:pStyle w:val="Prrafodelista"/>
        <w:numPr>
          <w:ilvl w:val="0"/>
          <w:numId w:val="1"/>
        </w:numPr>
        <w:spacing w:before="120" w:after="120" w:line="276" w:lineRule="auto"/>
        <w:jc w:val="both"/>
      </w:pPr>
      <w:r>
        <w:t xml:space="preserve">La expansión internacional crece un </w:t>
      </w:r>
      <w:r w:rsidR="535AC682">
        <w:t>23</w:t>
      </w:r>
      <w:r>
        <w:t>%, con un índice de internacionalización del 1</w:t>
      </w:r>
      <w:r w:rsidR="5E119BB5">
        <w:t>5,9</w:t>
      </w:r>
      <w:r>
        <w:t>%</w:t>
      </w:r>
      <w:r w:rsidR="47B9CF9E">
        <w:t xml:space="preserve"> liderado por los ecosistemas de Chile (+32%) y Perú (+50%) por sus necesidades de escalabilidad.</w:t>
      </w:r>
      <w:r>
        <w:t xml:space="preserve"> El índice de atracción </w:t>
      </w:r>
      <w:r w:rsidR="73E69FC3">
        <w:t xml:space="preserve">de </w:t>
      </w:r>
      <w:r w:rsidR="73E69FC3" w:rsidRPr="241DE949">
        <w:rPr>
          <w:i/>
          <w:iCs/>
        </w:rPr>
        <w:t xml:space="preserve">insurtech </w:t>
      </w:r>
      <w:r w:rsidR="73E69FC3">
        <w:t>extranjeras se sitúa en un 29%.</w:t>
      </w:r>
    </w:p>
    <w:p w14:paraId="20423695" w14:textId="5943AA4F" w:rsidR="1A75D4B7" w:rsidRDefault="1A75D4B7" w:rsidP="241DE949">
      <w:pPr>
        <w:pStyle w:val="Prrafodelista"/>
        <w:numPr>
          <w:ilvl w:val="0"/>
          <w:numId w:val="1"/>
        </w:numPr>
        <w:spacing w:before="120" w:after="120" w:line="276" w:lineRule="auto"/>
        <w:jc w:val="both"/>
        <w:rPr>
          <w:rFonts w:ascii="Calibri" w:eastAsia="Calibri" w:hAnsi="Calibri"/>
        </w:rPr>
      </w:pPr>
      <w:r w:rsidRPr="241DE949">
        <w:rPr>
          <w:rFonts w:ascii="Calibri" w:eastAsia="Calibri" w:hAnsi="Calibri"/>
        </w:rPr>
        <w:t xml:space="preserve">El 51% del ecosistema </w:t>
      </w:r>
      <w:r w:rsidRPr="241DE949">
        <w:rPr>
          <w:rFonts w:ascii="Calibri" w:eastAsia="Calibri" w:hAnsi="Calibri"/>
          <w:i/>
          <w:iCs/>
        </w:rPr>
        <w:t>insurtech</w:t>
      </w:r>
      <w:r w:rsidRPr="241DE949">
        <w:rPr>
          <w:rFonts w:ascii="Calibri" w:eastAsia="Calibri" w:hAnsi="Calibri"/>
        </w:rPr>
        <w:t xml:space="preserve"> se dedica a la distribución digital; el 49% es habilitador y colabora con (re)aseguradoras e intermediarios.</w:t>
      </w:r>
    </w:p>
    <w:p w14:paraId="4D86685C" w14:textId="77777777" w:rsidR="00584284" w:rsidRDefault="00584284" w:rsidP="00584284">
      <w:pPr>
        <w:pStyle w:val="Prrafodelista"/>
        <w:spacing w:before="120" w:after="120" w:line="276" w:lineRule="auto"/>
        <w:ind w:left="360"/>
        <w:contextualSpacing w:val="0"/>
        <w:jc w:val="both"/>
      </w:pPr>
    </w:p>
    <w:p w14:paraId="5AC78DFD" w14:textId="17681AC5" w:rsidR="0F0075EC" w:rsidRDefault="0F0075EC" w:rsidP="241DE949">
      <w:pPr>
        <w:jc w:val="both"/>
      </w:pPr>
      <w:r>
        <w:t xml:space="preserve">La financiación </w:t>
      </w:r>
      <w:r w:rsidRPr="241DE949">
        <w:rPr>
          <w:i/>
          <w:iCs/>
        </w:rPr>
        <w:t xml:space="preserve">insurtech </w:t>
      </w:r>
      <w:r>
        <w:t xml:space="preserve">en Latinoamérica durante 2024 ha alcanzado los 92 millones de dólares, un 38% menos respecto a 2023. No obstante, durante el segundo semestre del año se produjo un repunte del 156% </w:t>
      </w:r>
      <w:r w:rsidR="3915B4E0">
        <w:t>en comparación con el primer semestre de 2024, lo que denota un</w:t>
      </w:r>
      <w:r w:rsidR="3A28C60D">
        <w:t>as perspectivas</w:t>
      </w:r>
      <w:r w:rsidR="3915B4E0">
        <w:t xml:space="preserve"> positiv</w:t>
      </w:r>
      <w:r w:rsidR="352C7F12">
        <w:t>as</w:t>
      </w:r>
      <w:r w:rsidR="3915B4E0">
        <w:t xml:space="preserve"> para 2025 y </w:t>
      </w:r>
      <w:r w:rsidR="0BAB68E2">
        <w:t>la existencia del</w:t>
      </w:r>
      <w:r w:rsidR="3915B4E0">
        <w:t xml:space="preserve"> interés de los inversores por la región</w:t>
      </w:r>
      <w:r w:rsidR="2CCE7B36">
        <w:t>.</w:t>
      </w:r>
    </w:p>
    <w:p w14:paraId="0351363C" w14:textId="2B5D121A" w:rsidR="195476B1" w:rsidRDefault="195476B1" w:rsidP="241DE949">
      <w:pPr>
        <w:jc w:val="both"/>
      </w:pPr>
      <w:r>
        <w:t xml:space="preserve">Pese a este contexto de </w:t>
      </w:r>
      <w:r w:rsidR="5C65FD2F">
        <w:t xml:space="preserve">baja inversión en el cómputo anual de la </w:t>
      </w:r>
      <w:r>
        <w:t xml:space="preserve">inversión </w:t>
      </w:r>
      <w:r w:rsidRPr="241DE949">
        <w:rPr>
          <w:i/>
          <w:iCs/>
        </w:rPr>
        <w:t>venture capital</w:t>
      </w:r>
      <w:r>
        <w:t xml:space="preserve"> o de capital riesgo, el número total de </w:t>
      </w:r>
      <w:r w:rsidRPr="241DE949">
        <w:rPr>
          <w:i/>
          <w:iCs/>
        </w:rPr>
        <w:t xml:space="preserve">startups </w:t>
      </w:r>
      <w:r>
        <w:t xml:space="preserve">del ecosistema </w:t>
      </w:r>
      <w:r w:rsidRPr="241DE949">
        <w:rPr>
          <w:i/>
          <w:iCs/>
        </w:rPr>
        <w:t xml:space="preserve">insurtech </w:t>
      </w:r>
      <w:r>
        <w:t xml:space="preserve">en la región se sitúa en </w:t>
      </w:r>
      <w:r w:rsidR="521272B2">
        <w:t>502</w:t>
      </w:r>
      <w:r>
        <w:t xml:space="preserve">, lo que se traduce en un crecimiento del </w:t>
      </w:r>
      <w:r w:rsidR="319C23B0">
        <w:t>5</w:t>
      </w:r>
      <w:r>
        <w:t>%</w:t>
      </w:r>
      <w:r w:rsidR="76A6AD75">
        <w:t xml:space="preserve"> durante 2024</w:t>
      </w:r>
      <w:r>
        <w:t xml:space="preserve">. Teniendo en cuenta que la tasa de mortalidad ha sido del </w:t>
      </w:r>
      <w:r w:rsidR="306687FF">
        <w:t>9,4</w:t>
      </w:r>
      <w:r>
        <w:t>%, el crecimiento orgánico se sitúa en un +1</w:t>
      </w:r>
      <w:r w:rsidR="6FA1B062">
        <w:t>5</w:t>
      </w:r>
      <w:r>
        <w:t>%</w:t>
      </w:r>
      <w:r w:rsidR="16F3E96B">
        <w:t xml:space="preserve"> anual</w:t>
      </w:r>
      <w:r>
        <w:t>, con 7</w:t>
      </w:r>
      <w:r w:rsidR="7B56EF65">
        <w:t>0</w:t>
      </w:r>
      <w:r>
        <w:t xml:space="preserve"> nuevas </w:t>
      </w:r>
      <w:r w:rsidRPr="241DE949">
        <w:rPr>
          <w:i/>
          <w:iCs/>
        </w:rPr>
        <w:t>insurtech</w:t>
      </w:r>
      <w:r>
        <w:t>.</w:t>
      </w:r>
    </w:p>
    <w:p w14:paraId="32F5209B" w14:textId="1F26792B" w:rsidR="4B8FA8AC" w:rsidRDefault="4B8FA8AC" w:rsidP="241DE949">
      <w:pPr>
        <w:jc w:val="both"/>
        <w:rPr>
          <w:rFonts w:ascii="Calibri" w:eastAsia="Calibri" w:hAnsi="Calibri"/>
        </w:rPr>
      </w:pPr>
      <w:r w:rsidRPr="241DE949">
        <w:rPr>
          <w:rFonts w:ascii="Calibri" w:eastAsia="Calibri" w:hAnsi="Calibri"/>
        </w:rPr>
        <w:t>Estas son algunas de las principales conclusiones del informe ‘</w:t>
      </w:r>
      <w:proofErr w:type="spellStart"/>
      <w:r w:rsidRPr="241DE949">
        <w:rPr>
          <w:rFonts w:ascii="Calibri" w:eastAsia="Calibri" w:hAnsi="Calibri"/>
        </w:rPr>
        <w:t>Latam</w:t>
      </w:r>
      <w:proofErr w:type="spellEnd"/>
      <w:r w:rsidRPr="241DE949">
        <w:rPr>
          <w:rFonts w:ascii="Calibri" w:eastAsia="Calibri" w:hAnsi="Calibri"/>
        </w:rPr>
        <w:t xml:space="preserve"> </w:t>
      </w:r>
      <w:proofErr w:type="spellStart"/>
      <w:r w:rsidRPr="241DE949">
        <w:rPr>
          <w:rFonts w:ascii="Calibri" w:eastAsia="Calibri" w:hAnsi="Calibri"/>
        </w:rPr>
        <w:t>Insurtech</w:t>
      </w:r>
      <w:proofErr w:type="spellEnd"/>
      <w:r w:rsidRPr="241DE949">
        <w:rPr>
          <w:rFonts w:ascii="Calibri" w:eastAsia="Calibri" w:hAnsi="Calibri"/>
        </w:rPr>
        <w:t xml:space="preserve"> </w:t>
      </w:r>
      <w:proofErr w:type="spellStart"/>
      <w:r w:rsidRPr="241DE949">
        <w:rPr>
          <w:rFonts w:ascii="Calibri" w:eastAsia="Calibri" w:hAnsi="Calibri"/>
        </w:rPr>
        <w:t>Journey</w:t>
      </w:r>
      <w:proofErr w:type="spellEnd"/>
      <w:r w:rsidRPr="241DE949">
        <w:rPr>
          <w:rFonts w:ascii="Calibri" w:eastAsia="Calibri" w:hAnsi="Calibri"/>
        </w:rPr>
        <w:t xml:space="preserve">’, elaborado por Digital </w:t>
      </w:r>
      <w:proofErr w:type="spellStart"/>
      <w:r w:rsidRPr="241DE949">
        <w:rPr>
          <w:rFonts w:ascii="Calibri" w:eastAsia="Calibri" w:hAnsi="Calibri"/>
        </w:rPr>
        <w:t>Insurance</w:t>
      </w:r>
      <w:proofErr w:type="spellEnd"/>
      <w:r w:rsidRPr="241DE949">
        <w:rPr>
          <w:rFonts w:ascii="Calibri" w:eastAsia="Calibri" w:hAnsi="Calibri"/>
        </w:rPr>
        <w:t xml:space="preserve"> LATAM con el patrocinio de MAPFRE. Se trata de la novena edición de este documento en el que se analiza el estado de la industria </w:t>
      </w:r>
      <w:r w:rsidRPr="241DE949">
        <w:rPr>
          <w:rFonts w:ascii="Calibri" w:eastAsia="Calibri" w:hAnsi="Calibri"/>
          <w:i/>
          <w:iCs/>
        </w:rPr>
        <w:t xml:space="preserve">insurtech </w:t>
      </w:r>
      <w:r w:rsidRPr="241DE949">
        <w:rPr>
          <w:rFonts w:ascii="Calibri" w:eastAsia="Calibri" w:hAnsi="Calibri"/>
        </w:rPr>
        <w:t>en América Latina.</w:t>
      </w:r>
    </w:p>
    <w:p w14:paraId="48AD1904" w14:textId="25190F80" w:rsidR="4B8FA8AC" w:rsidRDefault="4B8FA8AC" w:rsidP="241DE949">
      <w:pPr>
        <w:jc w:val="both"/>
        <w:rPr>
          <w:rFonts w:ascii="Calibri" w:eastAsia="Calibri" w:hAnsi="Calibri"/>
          <w:b/>
          <w:bCs/>
        </w:rPr>
      </w:pPr>
      <w:r w:rsidRPr="241DE949">
        <w:rPr>
          <w:rFonts w:ascii="Calibri" w:eastAsia="Calibri" w:hAnsi="Calibri"/>
          <w:b/>
          <w:bCs/>
        </w:rPr>
        <w:t>El ecosistema crece, pese a la sequía de inversión</w:t>
      </w:r>
    </w:p>
    <w:p w14:paraId="37C1A12A" w14:textId="3FD9E27A" w:rsidR="610ACD1E" w:rsidRDefault="610ACD1E" w:rsidP="241DE949">
      <w:pPr>
        <w:jc w:val="both"/>
      </w:pPr>
      <w:r>
        <w:t>Si desgranamos el total de startups existentes en la región, Brasil (20</w:t>
      </w:r>
      <w:r w:rsidR="5F6605F1">
        <w:t>6</w:t>
      </w:r>
      <w:r>
        <w:t xml:space="preserve">), </w:t>
      </w:r>
      <w:r w:rsidR="06566A78">
        <w:t xml:space="preserve">México (120) y Argentina (88) </w:t>
      </w:r>
      <w:r>
        <w:t>son los territorios con mayor número de agentes, y la zona del Pacífico es la de mayor crecimiento porcentual, destacando</w:t>
      </w:r>
      <w:r w:rsidR="061C44AA">
        <w:t xml:space="preserve"> Perú (+26%), Chile y Ecuador (+21% cada una) y Colombia (+18%).</w:t>
      </w:r>
    </w:p>
    <w:p w14:paraId="339C7A2A" w14:textId="720CFED6" w:rsidR="341A7369" w:rsidRDefault="341A7369" w:rsidP="241DE949">
      <w:pPr>
        <w:jc w:val="both"/>
        <w:rPr>
          <w:rFonts w:ascii="Calibri" w:eastAsia="Calibri" w:hAnsi="Calibri"/>
        </w:rPr>
      </w:pPr>
      <w:r w:rsidRPr="241DE949">
        <w:rPr>
          <w:rFonts w:ascii="Calibri" w:eastAsia="Calibri" w:hAnsi="Calibri"/>
        </w:rPr>
        <w:t xml:space="preserve">En 2024, la expansión internacional ha crecido un </w:t>
      </w:r>
      <w:r w:rsidR="4AC8E60A" w:rsidRPr="241DE949">
        <w:rPr>
          <w:rFonts w:ascii="Calibri" w:eastAsia="Calibri" w:hAnsi="Calibri"/>
        </w:rPr>
        <w:t>23</w:t>
      </w:r>
      <w:r w:rsidRPr="241DE949">
        <w:rPr>
          <w:rFonts w:ascii="Calibri" w:eastAsia="Calibri" w:hAnsi="Calibri"/>
        </w:rPr>
        <w:t xml:space="preserve">%, con un índice de internacionalización total del </w:t>
      </w:r>
      <w:r w:rsidR="073BD64A" w:rsidRPr="241DE949">
        <w:rPr>
          <w:rFonts w:ascii="Calibri" w:eastAsia="Calibri" w:hAnsi="Calibri"/>
        </w:rPr>
        <w:t>15,9</w:t>
      </w:r>
      <w:r w:rsidRPr="241DE949">
        <w:rPr>
          <w:rFonts w:ascii="Calibri" w:eastAsia="Calibri" w:hAnsi="Calibri"/>
        </w:rPr>
        <w:t>%</w:t>
      </w:r>
      <w:r w:rsidR="0A51757C" w:rsidRPr="241DE949">
        <w:rPr>
          <w:rFonts w:ascii="Calibri" w:eastAsia="Calibri" w:hAnsi="Calibri"/>
        </w:rPr>
        <w:t xml:space="preserve">, es decir, </w:t>
      </w:r>
      <w:r w:rsidR="0A51757C" w:rsidRPr="241DE949">
        <w:rPr>
          <w:rFonts w:ascii="Calibri" w:eastAsia="Calibri" w:hAnsi="Calibri"/>
          <w:i/>
          <w:iCs/>
        </w:rPr>
        <w:t xml:space="preserve">startups </w:t>
      </w:r>
      <w:r w:rsidR="0A51757C" w:rsidRPr="241DE949">
        <w:rPr>
          <w:rFonts w:ascii="Calibri" w:eastAsia="Calibri" w:hAnsi="Calibri"/>
        </w:rPr>
        <w:t xml:space="preserve">multilatinas que operan en más de un país. </w:t>
      </w:r>
      <w:r w:rsidRPr="241DE949">
        <w:rPr>
          <w:rFonts w:ascii="Calibri" w:eastAsia="Calibri" w:hAnsi="Calibri"/>
        </w:rPr>
        <w:t xml:space="preserve"> Perú (</w:t>
      </w:r>
      <w:r w:rsidR="22CEA610" w:rsidRPr="241DE949">
        <w:rPr>
          <w:rFonts w:ascii="Calibri" w:eastAsia="Calibri" w:hAnsi="Calibri"/>
        </w:rPr>
        <w:t>50</w:t>
      </w:r>
      <w:r w:rsidRPr="241DE949">
        <w:rPr>
          <w:rFonts w:ascii="Calibri" w:eastAsia="Calibri" w:hAnsi="Calibri"/>
        </w:rPr>
        <w:t>%) y Chile (3</w:t>
      </w:r>
      <w:r w:rsidR="63C146E4" w:rsidRPr="241DE949">
        <w:rPr>
          <w:rFonts w:ascii="Calibri" w:eastAsia="Calibri" w:hAnsi="Calibri"/>
        </w:rPr>
        <w:t>2</w:t>
      </w:r>
      <w:r w:rsidRPr="241DE949">
        <w:rPr>
          <w:rFonts w:ascii="Calibri" w:eastAsia="Calibri" w:hAnsi="Calibri"/>
        </w:rPr>
        <w:t xml:space="preserve">%) son los impulsores principales del aumento en el índice de expansión dada su necesidad de escalar los negocios; Brasil, en cambio, exporta muy pocas </w:t>
      </w:r>
      <w:proofErr w:type="spellStart"/>
      <w:r w:rsidRPr="241DE949">
        <w:rPr>
          <w:rFonts w:ascii="Calibri" w:eastAsia="Calibri" w:hAnsi="Calibri"/>
          <w:i/>
          <w:iCs/>
        </w:rPr>
        <w:t>insurtechs</w:t>
      </w:r>
      <w:proofErr w:type="spellEnd"/>
      <w:r w:rsidRPr="241DE949">
        <w:rPr>
          <w:rFonts w:ascii="Calibri" w:eastAsia="Calibri" w:hAnsi="Calibri"/>
        </w:rPr>
        <w:t xml:space="preserve"> (&lt;1%) debido a la naturaleza de su propio mercado.</w:t>
      </w:r>
    </w:p>
    <w:p w14:paraId="132D98BA" w14:textId="4BDC221D" w:rsidR="3F3B3F6E" w:rsidRDefault="3F3B3F6E" w:rsidP="241DE949">
      <w:pPr>
        <w:jc w:val="both"/>
      </w:pPr>
      <w:r>
        <w:t xml:space="preserve">El índice de atracción de </w:t>
      </w:r>
      <w:r w:rsidRPr="241DE949">
        <w:rPr>
          <w:i/>
          <w:iCs/>
        </w:rPr>
        <w:t xml:space="preserve">insurtech </w:t>
      </w:r>
      <w:r>
        <w:t>extranjeras se sitúa en un 29</w:t>
      </w:r>
      <w:r w:rsidR="0AF59380">
        <w:t xml:space="preserve">%, lo que se traduce en que tres de cada diez </w:t>
      </w:r>
      <w:r w:rsidR="0AF59380" w:rsidRPr="241DE949">
        <w:rPr>
          <w:i/>
          <w:iCs/>
        </w:rPr>
        <w:t xml:space="preserve">insurtech </w:t>
      </w:r>
      <w:r w:rsidR="0AF59380">
        <w:t xml:space="preserve">en un mismo mercado es extranjera. Los </w:t>
      </w:r>
      <w:r w:rsidR="17BD5B71">
        <w:t>tres</w:t>
      </w:r>
      <w:r w:rsidR="0AF59380">
        <w:t xml:space="preserve"> principales polos de atracción son México (36%</w:t>
      </w:r>
      <w:r w:rsidR="4E6D06C3">
        <w:t>), Perú (64%) y Colombia (51%).</w:t>
      </w:r>
    </w:p>
    <w:p w14:paraId="521E37AB" w14:textId="4DF3ACB0" w:rsidR="034C877F" w:rsidRDefault="034C877F" w:rsidP="241DE949">
      <w:pPr>
        <w:jc w:val="both"/>
      </w:pPr>
      <w:r>
        <w:lastRenderedPageBreak/>
        <w:t>Perú (6</w:t>
      </w:r>
      <w:r w:rsidR="7C0D86E4">
        <w:t>4</w:t>
      </w:r>
      <w:r>
        <w:t>%), Ecuador (</w:t>
      </w:r>
      <w:r w:rsidR="4BC2723A">
        <w:t>51</w:t>
      </w:r>
      <w:r>
        <w:t>%)</w:t>
      </w:r>
      <w:r w:rsidR="16FDEBC1">
        <w:t xml:space="preserve"> y </w:t>
      </w:r>
      <w:r>
        <w:t>Colombia (4</w:t>
      </w:r>
      <w:r w:rsidR="6461F5D1">
        <w:t>8</w:t>
      </w:r>
      <w:r>
        <w:t xml:space="preserve">%) son los países de América Latina que atraen más compañías </w:t>
      </w:r>
      <w:r w:rsidRPr="241DE949">
        <w:rPr>
          <w:i/>
          <w:iCs/>
        </w:rPr>
        <w:t xml:space="preserve">insurtech </w:t>
      </w:r>
      <w:r>
        <w:t>extranjeras.</w:t>
      </w:r>
    </w:p>
    <w:p w14:paraId="7D78D31A" w14:textId="1343C475" w:rsidR="4E6D06C3" w:rsidRDefault="4E6D06C3" w:rsidP="241DE949">
      <w:pPr>
        <w:jc w:val="both"/>
      </w:pPr>
      <w:r>
        <w:t>«Que los dos índices [internacionalización y atracción] sigan creciendo marca dos tendencias: las insurtech con una buena propuesta de valor se mueven rápido y tanto las que son ‘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Latam</w:t>
      </w:r>
      <w:proofErr w:type="spellEnd"/>
      <w:r>
        <w:t>’ como las multilatinas consideran a Latinoamérica como un solo gran mercado</w:t>
      </w:r>
      <w:r w:rsidR="62859442">
        <w:t xml:space="preserve">», comenta Hugues Bertín, </w:t>
      </w:r>
      <w:r w:rsidR="688C909A">
        <w:t xml:space="preserve">CEO de Digital </w:t>
      </w:r>
      <w:proofErr w:type="spellStart"/>
      <w:r w:rsidR="688C909A">
        <w:t>Insurance</w:t>
      </w:r>
      <w:proofErr w:type="spellEnd"/>
      <w:r w:rsidR="688C909A">
        <w:t xml:space="preserve"> </w:t>
      </w:r>
      <w:proofErr w:type="spellStart"/>
      <w:r w:rsidR="688C909A">
        <w:t>LatAm</w:t>
      </w:r>
      <w:proofErr w:type="spellEnd"/>
      <w:r w:rsidR="688C909A">
        <w:t xml:space="preserve"> y presidente de la AIP (Alianza Insurtech Panamericana).</w:t>
      </w:r>
    </w:p>
    <w:p w14:paraId="60EA82E9" w14:textId="56A0984F" w:rsidR="417126F2" w:rsidRDefault="417126F2" w:rsidP="241DE949">
      <w:pPr>
        <w:jc w:val="both"/>
        <w:rPr>
          <w:b/>
          <w:bCs/>
        </w:rPr>
      </w:pPr>
      <w:r w:rsidRPr="241DE949">
        <w:rPr>
          <w:b/>
          <w:bCs/>
        </w:rPr>
        <w:t xml:space="preserve">La mortalidad de </w:t>
      </w:r>
      <w:proofErr w:type="gramStart"/>
      <w:r w:rsidRPr="241DE949">
        <w:rPr>
          <w:b/>
          <w:bCs/>
        </w:rPr>
        <w:t xml:space="preserve">las </w:t>
      </w:r>
      <w:r w:rsidRPr="241DE949">
        <w:rPr>
          <w:b/>
          <w:bCs/>
          <w:i/>
          <w:iCs/>
        </w:rPr>
        <w:t>startups</w:t>
      </w:r>
      <w:proofErr w:type="gramEnd"/>
      <w:r w:rsidRPr="241DE949">
        <w:rPr>
          <w:b/>
          <w:bCs/>
          <w:i/>
          <w:iCs/>
        </w:rPr>
        <w:t xml:space="preserve"> insurtech </w:t>
      </w:r>
      <w:r w:rsidRPr="241DE949">
        <w:rPr>
          <w:b/>
          <w:bCs/>
        </w:rPr>
        <w:t>continúa en descenso</w:t>
      </w:r>
    </w:p>
    <w:p w14:paraId="7E092628" w14:textId="79DD189B" w:rsidR="5EC53CB1" w:rsidRDefault="5EC53CB1" w:rsidP="241DE949">
      <w:pPr>
        <w:jc w:val="both"/>
      </w:pPr>
      <w:r>
        <w:t>La tasa de mortalidad anual del ecosistema se sitúa en un 9,4% (vs 12,7% en 2023)</w:t>
      </w:r>
      <w:r w:rsidR="26673C72">
        <w:t>.</w:t>
      </w:r>
    </w:p>
    <w:p w14:paraId="1034BE09" w14:textId="261E628C" w:rsidR="089A4975" w:rsidRDefault="089A4975" w:rsidP="241DE949">
      <w:pPr>
        <w:jc w:val="both"/>
      </w:pPr>
      <w:proofErr w:type="gramStart"/>
      <w:r>
        <w:t xml:space="preserve">Las </w:t>
      </w:r>
      <w:r w:rsidRPr="00BD07CB">
        <w:rPr>
          <w:i/>
          <w:iCs/>
        </w:rPr>
        <w:t>startups</w:t>
      </w:r>
      <w:proofErr w:type="gramEnd"/>
      <w:r>
        <w:t xml:space="preserve"> </w:t>
      </w:r>
      <w:r w:rsidRPr="241DE949">
        <w:rPr>
          <w:i/>
          <w:iCs/>
        </w:rPr>
        <w:t xml:space="preserve">insurtech </w:t>
      </w:r>
      <w:r>
        <w:t xml:space="preserve">que no logran escalar a otros países se encuentran en una situación de vulnerabilidad. La mortalidad de </w:t>
      </w:r>
      <w:proofErr w:type="gramStart"/>
      <w:r>
        <w:t xml:space="preserve">las </w:t>
      </w:r>
      <w:r w:rsidR="479DC937" w:rsidRPr="00BD07CB">
        <w:rPr>
          <w:i/>
          <w:iCs/>
        </w:rPr>
        <w:t>startups</w:t>
      </w:r>
      <w:proofErr w:type="gramEnd"/>
      <w:r w:rsidR="479DC937">
        <w:t xml:space="preserve"> </w:t>
      </w:r>
      <w:r>
        <w:t xml:space="preserve">multilatinas es </w:t>
      </w:r>
      <w:r w:rsidR="7D391ED9">
        <w:t>tres veces</w:t>
      </w:r>
      <w:r>
        <w:t xml:space="preserve"> inferior a la de las </w:t>
      </w:r>
      <w:proofErr w:type="spellStart"/>
      <w:r w:rsidRPr="00BD07CB">
        <w:rPr>
          <w:i/>
          <w:iCs/>
        </w:rPr>
        <w:t>insurtech</w:t>
      </w:r>
      <w:proofErr w:type="spellEnd"/>
      <w:r>
        <w:t xml:space="preserve"> locales.</w:t>
      </w:r>
    </w:p>
    <w:p w14:paraId="06F7ADBB" w14:textId="706C1414" w:rsidR="268C03EC" w:rsidRDefault="268C03EC" w:rsidP="241DE949">
      <w:pPr>
        <w:jc w:val="both"/>
      </w:pPr>
      <w:r>
        <w:t>En 2024, Brasil logró mejorar su tasa de mortalidad, reduciéndola del 12% al 7%.</w:t>
      </w:r>
      <w:r w:rsidR="4E440415">
        <w:t xml:space="preserve"> México, por su parte,</w:t>
      </w:r>
      <w:r>
        <w:t xml:space="preserve"> registra</w:t>
      </w:r>
      <w:r w:rsidR="1991B94B">
        <w:t xml:space="preserve"> </w:t>
      </w:r>
      <w:r>
        <w:t>la mayor tasa de mortalidad,</w:t>
      </w:r>
      <w:r w:rsidR="331FE441">
        <w:t xml:space="preserve"> </w:t>
      </w:r>
      <w:r>
        <w:t>con un 12%. Argentina y Colombia</w:t>
      </w:r>
      <w:r w:rsidR="245DC4AE">
        <w:t xml:space="preserve"> </w:t>
      </w:r>
      <w:r>
        <w:t>muestran mejoras, con tasas</w:t>
      </w:r>
      <w:r w:rsidR="11979246">
        <w:t xml:space="preserve"> </w:t>
      </w:r>
      <w:r>
        <w:t>de mortalidad del 9% y 8%,</w:t>
      </w:r>
      <w:r w:rsidR="70793B4F">
        <w:t xml:space="preserve"> </w:t>
      </w:r>
      <w:r>
        <w:t>respectivamente, e</w:t>
      </w:r>
      <w:r w:rsidR="38BAC95E">
        <w:t>n el último año</w:t>
      </w:r>
      <w:r>
        <w:t>.</w:t>
      </w:r>
    </w:p>
    <w:p w14:paraId="0859022D" w14:textId="0F368352" w:rsidR="66E13888" w:rsidRDefault="66E13888" w:rsidP="241DE949">
      <w:pPr>
        <w:jc w:val="both"/>
        <w:rPr>
          <w:b/>
          <w:bCs/>
        </w:rPr>
      </w:pPr>
      <w:r w:rsidRPr="241DE949">
        <w:rPr>
          <w:b/>
          <w:bCs/>
        </w:rPr>
        <w:t>Habilitadores y distribuidores se equilibran</w:t>
      </w:r>
    </w:p>
    <w:p w14:paraId="556CC746" w14:textId="310529E9" w:rsidR="66E13888" w:rsidRDefault="66E13888" w:rsidP="241DE949">
      <w:pPr>
        <w:jc w:val="both"/>
      </w:pPr>
      <w:r>
        <w:t xml:space="preserve">El 51% de </w:t>
      </w:r>
      <w:r w:rsidRPr="241DE949">
        <w:rPr>
          <w:i/>
          <w:iCs/>
        </w:rPr>
        <w:t xml:space="preserve">insurtech </w:t>
      </w:r>
      <w:r>
        <w:t>están enfocadas en la distribución. Este dato refleja una caída del 8% respecto a 2020; pese a que sigue siendo el ámbito mayoritario, el interés del ecosistema está mirando hacia otros modelos de negocio y equilibrando la balanza.</w:t>
      </w:r>
    </w:p>
    <w:p w14:paraId="29D55F57" w14:textId="607276D1" w:rsidR="10205314" w:rsidRDefault="10205314" w:rsidP="241DE949">
      <w:pPr>
        <w:jc w:val="both"/>
      </w:pPr>
      <w:r>
        <w:t xml:space="preserve">La mayoría de las </w:t>
      </w:r>
      <w:r w:rsidRPr="241DE949">
        <w:rPr>
          <w:i/>
          <w:iCs/>
        </w:rPr>
        <w:t xml:space="preserve">insurtech </w:t>
      </w:r>
      <w:r>
        <w:t xml:space="preserve">de distribución se concentran en líneas personales de auto y hogar con modelos de </w:t>
      </w:r>
      <w:proofErr w:type="spellStart"/>
      <w:r>
        <w:t>Broker</w:t>
      </w:r>
      <w:proofErr w:type="spellEnd"/>
      <w:r>
        <w:t xml:space="preserve"> o MGA: la suma de ambos modelos alcanza un 39%. Las </w:t>
      </w:r>
      <w:proofErr w:type="spellStart"/>
      <w:r>
        <w:t>neoaseguradoras</w:t>
      </w:r>
      <w:proofErr w:type="spellEnd"/>
      <w:r>
        <w:t xml:space="preserve"> representan el 9% de toda la distribución, y destacan sobre todo en México y Brasil.</w:t>
      </w:r>
    </w:p>
    <w:p w14:paraId="0A784A54" w14:textId="21A59930" w:rsidR="4364A6D9" w:rsidRDefault="4364A6D9" w:rsidP="241DE949">
      <w:pPr>
        <w:jc w:val="both"/>
      </w:pPr>
      <w:r>
        <w:t xml:space="preserve">En lo referente a las habilitadoras o </w:t>
      </w:r>
      <w:proofErr w:type="spellStart"/>
      <w:r w:rsidRPr="241DE949">
        <w:rPr>
          <w:i/>
          <w:iCs/>
        </w:rPr>
        <w:t>enablers</w:t>
      </w:r>
      <w:proofErr w:type="spellEnd"/>
      <w:r>
        <w:t xml:space="preserve">, vemos un crecimiento de 8 puntos porcentuales en los últimos cuatro años, situando estos modelos de negocio en el 49% del total dentro del ecosistema </w:t>
      </w:r>
      <w:r w:rsidRPr="241DE949">
        <w:rPr>
          <w:i/>
          <w:iCs/>
        </w:rPr>
        <w:t xml:space="preserve">insurtech </w:t>
      </w:r>
      <w:r>
        <w:t>latinoamericano.</w:t>
      </w:r>
    </w:p>
    <w:p w14:paraId="1D16FAF4" w14:textId="05EAB3AF" w:rsidR="4364A6D9" w:rsidRDefault="4364A6D9" w:rsidP="241DE949">
      <w:pPr>
        <w:jc w:val="both"/>
      </w:pPr>
      <w:r>
        <w:t>Destaca que el 16% de ellas ofrecen soluciones para digitalizar la intermediación tradicional. También es importante señalar aquellas que brindan soluciones para la gestión de siniestros (14%) y las de detección del fraude (5%).</w:t>
      </w:r>
    </w:p>
    <w:p w14:paraId="475100FE" w14:textId="65013591" w:rsidR="7D6222F0" w:rsidRDefault="7D6222F0" w:rsidP="241DE949">
      <w:pPr>
        <w:jc w:val="both"/>
        <w:rPr>
          <w:b/>
          <w:bCs/>
        </w:rPr>
      </w:pPr>
      <w:r w:rsidRPr="241DE949">
        <w:rPr>
          <w:b/>
          <w:bCs/>
        </w:rPr>
        <w:t>Declaraciones:</w:t>
      </w:r>
    </w:p>
    <w:p w14:paraId="5B27C6BD" w14:textId="56CD18C7" w:rsidR="7D6222F0" w:rsidRPr="00BD07CB" w:rsidRDefault="7D6222F0" w:rsidP="00BD07CB">
      <w:pPr>
        <w:pStyle w:val="p1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</w:pPr>
      <w:r w:rsidRPr="00BD07CB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 xml:space="preserve">Hugues Bertin, CEO y </w:t>
      </w:r>
      <w:r w:rsidR="00BD07CB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>f</w:t>
      </w:r>
      <w:r w:rsidRPr="00BD07CB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 xml:space="preserve">undador de Digital Insurance </w:t>
      </w:r>
      <w:proofErr w:type="spellStart"/>
      <w:r w:rsidRPr="00BD07CB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>Latam</w:t>
      </w:r>
      <w:proofErr w:type="spellEnd"/>
      <w:r w:rsidR="00BD07CB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>,</w:t>
      </w:r>
      <w:r w:rsidRPr="00BD07CB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 xml:space="preserve"> comenta que «</w:t>
      </w:r>
      <w:r w:rsidR="00BD07CB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>e</w:t>
      </w:r>
      <w:r w:rsidR="00F85151" w:rsidRPr="00BD07CB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 xml:space="preserve">ste año ha sido un año de resiliencia y aprendizaje. En particular, se observa una fuerte correlación entre el crecimiento del número de </w:t>
      </w:r>
      <w:proofErr w:type="spellStart"/>
      <w:r w:rsidR="00F85151" w:rsidRPr="00BD07CB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val="es-ES" w:eastAsia="en-US"/>
          <w14:ligatures w14:val="standardContextual"/>
        </w:rPr>
        <w:t>insurtech</w:t>
      </w:r>
      <w:proofErr w:type="spellEnd"/>
      <w:r w:rsidR="00F85151" w:rsidRPr="00BD07CB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 xml:space="preserve"> en un país, su internacionalización y la presencia de asociaciones </w:t>
      </w:r>
      <w:r w:rsidR="00F85151" w:rsidRPr="00BD07CB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val="es-ES" w:eastAsia="en-US"/>
          <w14:ligatures w14:val="standardContextual"/>
        </w:rPr>
        <w:t>insurtech</w:t>
      </w:r>
      <w:r w:rsidR="00F85151" w:rsidRPr="00BD07CB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 xml:space="preserve"> sólidas y colaborativas con el sector tradicional. Es </w:t>
      </w:r>
      <w:r w:rsidR="00F85151" w:rsidRPr="00F85151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>decir,</w:t>
      </w:r>
      <w:r w:rsidR="00F85151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 xml:space="preserve"> en un contexto de falta de financiación, </w:t>
      </w:r>
      <w:r w:rsidR="00F85151" w:rsidRPr="00BD07CB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 xml:space="preserve">las empresas se </w:t>
      </w:r>
      <w:r w:rsidR="00BD07CB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>hacen más robustas</w:t>
      </w:r>
      <w:r w:rsidR="00F85151" w:rsidRPr="00BD07CB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 xml:space="preserve">, los vínculos de cooperación </w:t>
      </w:r>
      <w:r w:rsidR="00F85151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 xml:space="preserve">con el sector tradicional </w:t>
      </w:r>
      <w:r w:rsidR="00F85151" w:rsidRPr="00BD07CB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 xml:space="preserve">se intensifican y los procesos de internacionalización se aceleran. </w:t>
      </w:r>
      <w:r w:rsidR="00BD07CB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>Aquí</w:t>
      </w:r>
      <w:r w:rsidR="00F85151" w:rsidRPr="00BD07CB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>, las asociaciones juegan un papel clave en el desarrollo del ecosistema</w:t>
      </w:r>
      <w:r w:rsidR="00BD07CB">
        <w:rPr>
          <w:rFonts w:asciiTheme="minorHAnsi" w:eastAsiaTheme="minorHAnsi" w:hAnsiTheme="minorHAnsi" w:cstheme="minorBidi"/>
          <w:kern w:val="2"/>
          <w:sz w:val="22"/>
          <w:szCs w:val="22"/>
          <w:lang w:val="es-ES" w:eastAsia="en-US"/>
          <w14:ligatures w14:val="standardContextual"/>
        </w:rPr>
        <w:t>».</w:t>
      </w:r>
    </w:p>
    <w:p w14:paraId="6DE5C16B" w14:textId="0F36C6B4" w:rsidR="7D6222F0" w:rsidRDefault="7D6222F0" w:rsidP="241DE949">
      <w:pPr>
        <w:jc w:val="both"/>
      </w:pPr>
      <w:r w:rsidRPr="241DE949">
        <w:t xml:space="preserve">Carlos Cendra, </w:t>
      </w:r>
      <w:proofErr w:type="spellStart"/>
      <w:proofErr w:type="gramStart"/>
      <w:r w:rsidRPr="241DE949">
        <w:t>Scouting</w:t>
      </w:r>
      <w:proofErr w:type="spellEnd"/>
      <w:proofErr w:type="gramEnd"/>
      <w:r w:rsidRPr="241DE949">
        <w:t xml:space="preserve"> &amp; </w:t>
      </w:r>
      <w:proofErr w:type="spellStart"/>
      <w:r w:rsidRPr="241DE949">
        <w:t>Investment</w:t>
      </w:r>
      <w:proofErr w:type="spellEnd"/>
      <w:r w:rsidRPr="241DE949">
        <w:t xml:space="preserve"> Lead en MAPFRE Open </w:t>
      </w:r>
      <w:proofErr w:type="spellStart"/>
      <w:r w:rsidRPr="241DE949">
        <w:t>Innovation</w:t>
      </w:r>
      <w:proofErr w:type="spellEnd"/>
      <w:r w:rsidR="0919551B" w:rsidRPr="241DE949">
        <w:t xml:space="preserve">, señala que «el repunte de la financiación en el segundo semestre de 2024, unido al continuo crecimiento en el número de startups, </w:t>
      </w:r>
      <w:r w:rsidR="5F9E127F" w:rsidRPr="241DE949">
        <w:t>dejan ver la fuerza del ecosistema y de la región, firmemente convencida del potencial de la industria aseguradora. Hemos empezado 2025 con nuevos anuncios de rondas de financiación, como ha</w:t>
      </w:r>
      <w:r w:rsidR="2A48FCB6" w:rsidRPr="241DE949">
        <w:t xml:space="preserve">n sido los de Sami y Olé </w:t>
      </w:r>
      <w:proofErr w:type="spellStart"/>
      <w:r w:rsidR="2A48FCB6" w:rsidRPr="241DE949">
        <w:t>Life</w:t>
      </w:r>
      <w:proofErr w:type="spellEnd"/>
      <w:r w:rsidR="2A48FCB6" w:rsidRPr="241DE949">
        <w:t xml:space="preserve">, por lo que todo parece indicar que en 2025 </w:t>
      </w:r>
      <w:r w:rsidR="2A48FCB6" w:rsidRPr="241DE949">
        <w:lastRenderedPageBreak/>
        <w:t>veremos una tendencia positiva e</w:t>
      </w:r>
      <w:r w:rsidR="40F3856F" w:rsidRPr="241DE949">
        <w:t xml:space="preserve">n las cifras, si bien tenemos que estar pendientes de la situación global del venture capital y cómo </w:t>
      </w:r>
      <w:r w:rsidR="6943E1B8" w:rsidRPr="241DE949">
        <w:t>posibles fluctuaciones pueden afectar en América Latina».</w:t>
      </w:r>
    </w:p>
    <w:sectPr w:rsidR="7D622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A5FC6"/>
    <w:multiLevelType w:val="hybridMultilevel"/>
    <w:tmpl w:val="D13686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683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47F"/>
    <w:rsid w:val="000030E4"/>
    <w:rsid w:val="0008041F"/>
    <w:rsid w:val="000C8359"/>
    <w:rsid w:val="000E5D12"/>
    <w:rsid w:val="000F1BCD"/>
    <w:rsid w:val="001D546C"/>
    <w:rsid w:val="003034AA"/>
    <w:rsid w:val="00584284"/>
    <w:rsid w:val="006039F5"/>
    <w:rsid w:val="006376D7"/>
    <w:rsid w:val="006CA22D"/>
    <w:rsid w:val="007C70B9"/>
    <w:rsid w:val="00912915"/>
    <w:rsid w:val="009438DC"/>
    <w:rsid w:val="0099571B"/>
    <w:rsid w:val="009C78A9"/>
    <w:rsid w:val="009E3BE9"/>
    <w:rsid w:val="00A963B6"/>
    <w:rsid w:val="00A97C42"/>
    <w:rsid w:val="00AE5946"/>
    <w:rsid w:val="00BD07CB"/>
    <w:rsid w:val="00BF36DF"/>
    <w:rsid w:val="00C67DC4"/>
    <w:rsid w:val="00CD4F1E"/>
    <w:rsid w:val="00D2147F"/>
    <w:rsid w:val="00F85151"/>
    <w:rsid w:val="00FD7F53"/>
    <w:rsid w:val="01CE0E91"/>
    <w:rsid w:val="034C877F"/>
    <w:rsid w:val="047DE565"/>
    <w:rsid w:val="0508BE45"/>
    <w:rsid w:val="061C44AA"/>
    <w:rsid w:val="06566A78"/>
    <w:rsid w:val="073BD64A"/>
    <w:rsid w:val="089A4975"/>
    <w:rsid w:val="0919551B"/>
    <w:rsid w:val="0A51757C"/>
    <w:rsid w:val="0AB7EA67"/>
    <w:rsid w:val="0AF59380"/>
    <w:rsid w:val="0BAB68E2"/>
    <w:rsid w:val="0CF71144"/>
    <w:rsid w:val="0D14DAEF"/>
    <w:rsid w:val="0D4BACFD"/>
    <w:rsid w:val="0F0075EC"/>
    <w:rsid w:val="10205314"/>
    <w:rsid w:val="102F2A27"/>
    <w:rsid w:val="103ABE12"/>
    <w:rsid w:val="11979246"/>
    <w:rsid w:val="13794638"/>
    <w:rsid w:val="1656ABEF"/>
    <w:rsid w:val="16891A9D"/>
    <w:rsid w:val="16F3E96B"/>
    <w:rsid w:val="16F7BE84"/>
    <w:rsid w:val="16FDEBC1"/>
    <w:rsid w:val="17BD5B71"/>
    <w:rsid w:val="17CDC0F5"/>
    <w:rsid w:val="195476B1"/>
    <w:rsid w:val="1991B94B"/>
    <w:rsid w:val="1A75D4B7"/>
    <w:rsid w:val="1AA4B16C"/>
    <w:rsid w:val="1AABDBC2"/>
    <w:rsid w:val="1B483C92"/>
    <w:rsid w:val="1BA3ED51"/>
    <w:rsid w:val="1E1817D8"/>
    <w:rsid w:val="21A1706B"/>
    <w:rsid w:val="22CEA610"/>
    <w:rsid w:val="241DE949"/>
    <w:rsid w:val="245DC4AE"/>
    <w:rsid w:val="25962952"/>
    <w:rsid w:val="25B0A263"/>
    <w:rsid w:val="25D1F056"/>
    <w:rsid w:val="25D6C1A0"/>
    <w:rsid w:val="26673C72"/>
    <w:rsid w:val="268C03EC"/>
    <w:rsid w:val="2884012A"/>
    <w:rsid w:val="295F7DE3"/>
    <w:rsid w:val="2A48FCB6"/>
    <w:rsid w:val="2AF8C3C0"/>
    <w:rsid w:val="2CCE7B36"/>
    <w:rsid w:val="2D7169B7"/>
    <w:rsid w:val="2D9B862F"/>
    <w:rsid w:val="2F64D5CB"/>
    <w:rsid w:val="306687FF"/>
    <w:rsid w:val="319C23B0"/>
    <w:rsid w:val="331ED172"/>
    <w:rsid w:val="331FE441"/>
    <w:rsid w:val="3396517F"/>
    <w:rsid w:val="33CFE141"/>
    <w:rsid w:val="33F22099"/>
    <w:rsid w:val="341A7369"/>
    <w:rsid w:val="34310D84"/>
    <w:rsid w:val="352C7F12"/>
    <w:rsid w:val="35DA2F4E"/>
    <w:rsid w:val="369C9599"/>
    <w:rsid w:val="374FE529"/>
    <w:rsid w:val="38BAC95E"/>
    <w:rsid w:val="3915B4E0"/>
    <w:rsid w:val="394CF1BF"/>
    <w:rsid w:val="3A28C60D"/>
    <w:rsid w:val="3A8C6793"/>
    <w:rsid w:val="3AA9E04F"/>
    <w:rsid w:val="3D57A00F"/>
    <w:rsid w:val="3E553E05"/>
    <w:rsid w:val="3F3B3F6E"/>
    <w:rsid w:val="3F6AA835"/>
    <w:rsid w:val="40F3856F"/>
    <w:rsid w:val="416C40A2"/>
    <w:rsid w:val="417126F2"/>
    <w:rsid w:val="42E1C6A6"/>
    <w:rsid w:val="430C59AC"/>
    <w:rsid w:val="4364A6D9"/>
    <w:rsid w:val="43B95BD9"/>
    <w:rsid w:val="466249CE"/>
    <w:rsid w:val="46BDA0D2"/>
    <w:rsid w:val="479DC937"/>
    <w:rsid w:val="47B9CF9E"/>
    <w:rsid w:val="480A8101"/>
    <w:rsid w:val="4AC8E60A"/>
    <w:rsid w:val="4B521CF7"/>
    <w:rsid w:val="4B8FA8AC"/>
    <w:rsid w:val="4BBEA21D"/>
    <w:rsid w:val="4BC2723A"/>
    <w:rsid w:val="4C7F7353"/>
    <w:rsid w:val="4D441F62"/>
    <w:rsid w:val="4E0ADAEE"/>
    <w:rsid w:val="4E440415"/>
    <w:rsid w:val="4E65FAF6"/>
    <w:rsid w:val="4E6D06C3"/>
    <w:rsid w:val="4EC6A04E"/>
    <w:rsid w:val="4F7A0FBC"/>
    <w:rsid w:val="51402DD0"/>
    <w:rsid w:val="521272B2"/>
    <w:rsid w:val="52DF5A16"/>
    <w:rsid w:val="535AC682"/>
    <w:rsid w:val="57885C7F"/>
    <w:rsid w:val="591AAF2C"/>
    <w:rsid w:val="5C65FD2F"/>
    <w:rsid w:val="5E03CD13"/>
    <w:rsid w:val="5E119BB5"/>
    <w:rsid w:val="5E9D9359"/>
    <w:rsid w:val="5EC53CB1"/>
    <w:rsid w:val="5F6605F1"/>
    <w:rsid w:val="5F9E127F"/>
    <w:rsid w:val="610ACD1E"/>
    <w:rsid w:val="62859442"/>
    <w:rsid w:val="63B14360"/>
    <w:rsid w:val="63C146E4"/>
    <w:rsid w:val="6461F5D1"/>
    <w:rsid w:val="66C9666D"/>
    <w:rsid w:val="66CEC30F"/>
    <w:rsid w:val="66E13888"/>
    <w:rsid w:val="688C909A"/>
    <w:rsid w:val="6943E1B8"/>
    <w:rsid w:val="6BE81EF0"/>
    <w:rsid w:val="6DC847D9"/>
    <w:rsid w:val="6FA1B062"/>
    <w:rsid w:val="6FF8AEA2"/>
    <w:rsid w:val="70793B4F"/>
    <w:rsid w:val="723FB8E0"/>
    <w:rsid w:val="732D8634"/>
    <w:rsid w:val="73E69FC3"/>
    <w:rsid w:val="761B9B79"/>
    <w:rsid w:val="76A6AD75"/>
    <w:rsid w:val="78CDFE30"/>
    <w:rsid w:val="79013053"/>
    <w:rsid w:val="7945119F"/>
    <w:rsid w:val="794E36D8"/>
    <w:rsid w:val="79C0BD0D"/>
    <w:rsid w:val="7A0205C3"/>
    <w:rsid w:val="7B56EF65"/>
    <w:rsid w:val="7BAB43DB"/>
    <w:rsid w:val="7C0D86E4"/>
    <w:rsid w:val="7C2E81B6"/>
    <w:rsid w:val="7D391ED9"/>
    <w:rsid w:val="7D6222F0"/>
    <w:rsid w:val="7EACACED"/>
    <w:rsid w:val="7FA5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627C"/>
  <w15:chartTrackingRefBased/>
  <w15:docId w15:val="{511805C7-27A5-47D2-B47B-D30377FB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284"/>
    <w:pPr>
      <w:ind w:left="720"/>
      <w:contextualSpacing/>
    </w:pPr>
  </w:style>
  <w:style w:type="paragraph" w:styleId="Revisin">
    <w:name w:val="Revision"/>
    <w:hidden/>
    <w:uiPriority w:val="99"/>
    <w:semiHidden/>
    <w:rsid w:val="000F1BCD"/>
    <w:pPr>
      <w:spacing w:after="0" w:line="240" w:lineRule="auto"/>
    </w:pPr>
  </w:style>
  <w:style w:type="paragraph" w:customStyle="1" w:styleId="p1">
    <w:name w:val="p1"/>
    <w:basedOn w:val="Normal"/>
    <w:rsid w:val="00F8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s1">
    <w:name w:val="s1"/>
    <w:basedOn w:val="Fuentedeprrafopredeter"/>
    <w:rsid w:val="00F85151"/>
  </w:style>
  <w:style w:type="paragraph" w:customStyle="1" w:styleId="p2">
    <w:name w:val="p2"/>
    <w:basedOn w:val="Normal"/>
    <w:rsid w:val="00F85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98377DE017B54B971707EF6023DA3F" ma:contentTypeVersion="13" ma:contentTypeDescription="Crear nuevo documento." ma:contentTypeScope="" ma:versionID="ca2a4c04fc1f0de811caa7860b543e14">
  <xsd:schema xmlns:xsd="http://www.w3.org/2001/XMLSchema" xmlns:xs="http://www.w3.org/2001/XMLSchema" xmlns:p="http://schemas.microsoft.com/office/2006/metadata/properties" xmlns:ns2="39e9e80c-771e-46d4-897f-40b4be9fdfdd" xmlns:ns3="2eafda57-75c2-43fa-b926-d20261ba0147" targetNamespace="http://schemas.microsoft.com/office/2006/metadata/properties" ma:root="true" ma:fieldsID="2bbdd9983ae30b19aab29425362ca24f" ns2:_="" ns3:_="">
    <xsd:import namespace="39e9e80c-771e-46d4-897f-40b4be9fdfdd"/>
    <xsd:import namespace="2eafda57-75c2-43fa-b926-d20261ba0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9e80c-771e-46d4-897f-40b4be9fdf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Estado de aprobación" ma:internalName="Estado_x0020_de_x0020_aprobaci_x00f3_n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db4f335f-4aac-4393-8d60-b82646c97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fda57-75c2-43fa-b926-d20261ba014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bdd9fa-ce6e-4f20-a892-244d3b304a4e}" ma:internalName="TaxCatchAll" ma:showField="CatchAllData" ma:web="2eafda57-75c2-43fa-b926-d20261ba0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9e9e80c-771e-46d4-897f-40b4be9fdfdd" xsi:nil="true"/>
    <lcf76f155ced4ddcb4097134ff3c332f xmlns="39e9e80c-771e-46d4-897f-40b4be9fdfdd">
      <Terms xmlns="http://schemas.microsoft.com/office/infopath/2007/PartnerControls"/>
    </lcf76f155ced4ddcb4097134ff3c332f>
    <TaxCatchAll xmlns="2eafda57-75c2-43fa-b926-d20261ba01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4651B-96B6-4CF8-8BB7-D18034782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e9e80c-771e-46d4-897f-40b4be9fdfdd"/>
    <ds:schemaRef ds:uri="2eafda57-75c2-43fa-b926-d20261ba0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A0063-5B2A-48A4-A9C2-BE49FBDE92CC}">
  <ds:schemaRefs>
    <ds:schemaRef ds:uri="http://schemas.microsoft.com/office/2006/metadata/properties"/>
    <ds:schemaRef ds:uri="http://schemas.microsoft.com/office/infopath/2007/PartnerControls"/>
    <ds:schemaRef ds:uri="39e9e80c-771e-46d4-897f-40b4be9fdfdd"/>
    <ds:schemaRef ds:uri="2eafda57-75c2-43fa-b926-d20261ba0147"/>
  </ds:schemaRefs>
</ds:datastoreItem>
</file>

<file path=customXml/itemProps3.xml><?xml version="1.0" encoding="utf-8"?>
<ds:datastoreItem xmlns:ds="http://schemas.openxmlformats.org/officeDocument/2006/customXml" ds:itemID="{57643B00-8EA0-4419-AF04-02C7673B9C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MAPFRE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Puga Garcia, Angela</dc:creator>
  <cp:keywords/>
  <dc:description/>
  <cp:lastModifiedBy>Puga Garcia, Angela</cp:lastModifiedBy>
  <cp:revision>3</cp:revision>
  <dcterms:created xsi:type="dcterms:W3CDTF">2025-02-18T21:55:00Z</dcterms:created>
  <dcterms:modified xsi:type="dcterms:W3CDTF">2025-02-19T08:57:00Z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0x010100EA98377DE017B54B971707EF6023DA3F</vt:lpwstr>
  </property>
  <property fmtid="{D5CDD505-2E9C-101B-9397-08002B2CF9AE}" pid="3" name="MediaServiceImageTags">
    <vt:lpwstr/>
  </property>
</Properties>
</file>